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6F2E" w14:textId="55582072" w:rsidR="00386FF0" w:rsidRPr="00DB2C44" w:rsidRDefault="00386FF0" w:rsidP="00386FF0">
      <w:pPr>
        <w:jc w:val="center"/>
        <w:rPr>
          <w:b/>
          <w:bCs/>
          <w:sz w:val="28"/>
          <w:szCs w:val="28"/>
        </w:rPr>
      </w:pPr>
      <w:r w:rsidRPr="00DB2C44">
        <w:rPr>
          <w:b/>
          <w:bCs/>
          <w:sz w:val="28"/>
          <w:szCs w:val="28"/>
        </w:rPr>
        <w:t>CEJA Energy Transition Community Grant Program – Partner Organization Project Planning</w:t>
      </w:r>
    </w:p>
    <w:p w14:paraId="0F90D158" w14:textId="77777777" w:rsidR="00386FF0" w:rsidRDefault="00386FF0"/>
    <w:tbl>
      <w:tblPr>
        <w:tblStyle w:val="TableGrid"/>
        <w:tblW w:w="0" w:type="auto"/>
        <w:tblLook w:val="04A0" w:firstRow="1" w:lastRow="0" w:firstColumn="1" w:lastColumn="0" w:noHBand="0" w:noVBand="1"/>
      </w:tblPr>
      <w:tblGrid>
        <w:gridCol w:w="3775"/>
        <w:gridCol w:w="9175"/>
      </w:tblGrid>
      <w:tr w:rsidR="00386FF0" w:rsidRPr="00386FF0" w14:paraId="5E501FA3" w14:textId="76F7C909" w:rsidTr="00386FF0">
        <w:tc>
          <w:tcPr>
            <w:tcW w:w="3775" w:type="dxa"/>
          </w:tcPr>
          <w:p w14:paraId="283D9A2B" w14:textId="77777777" w:rsidR="00386FF0" w:rsidRPr="00386FF0" w:rsidRDefault="00386FF0" w:rsidP="0006492B">
            <w:pPr>
              <w:rPr>
                <w:rFonts w:asciiTheme="majorHAnsi" w:hAnsiTheme="majorHAnsi"/>
                <w:sz w:val="24"/>
                <w:szCs w:val="24"/>
              </w:rPr>
            </w:pPr>
            <w:r w:rsidRPr="00386FF0">
              <w:rPr>
                <w:rFonts w:asciiTheme="majorHAnsi" w:hAnsiTheme="majorHAnsi"/>
                <w:sz w:val="24"/>
                <w:szCs w:val="24"/>
              </w:rPr>
              <w:t>Community Partner Name:</w:t>
            </w:r>
          </w:p>
        </w:tc>
        <w:tc>
          <w:tcPr>
            <w:tcW w:w="9175" w:type="dxa"/>
          </w:tcPr>
          <w:p w14:paraId="1AE866CB" w14:textId="77777777" w:rsidR="00386FF0" w:rsidRPr="00386FF0" w:rsidRDefault="00386FF0" w:rsidP="0006492B">
            <w:pPr>
              <w:rPr>
                <w:rFonts w:asciiTheme="majorHAnsi" w:hAnsiTheme="majorHAnsi"/>
                <w:sz w:val="24"/>
                <w:szCs w:val="24"/>
              </w:rPr>
            </w:pPr>
          </w:p>
        </w:tc>
      </w:tr>
      <w:tr w:rsidR="00386FF0" w:rsidRPr="00386FF0" w14:paraId="57C64C0A" w14:textId="60BC2B6C" w:rsidTr="00386FF0">
        <w:tc>
          <w:tcPr>
            <w:tcW w:w="3775" w:type="dxa"/>
          </w:tcPr>
          <w:p w14:paraId="42DA9D03" w14:textId="77777777" w:rsidR="00386FF0" w:rsidRPr="00386FF0" w:rsidRDefault="00386FF0" w:rsidP="0006492B">
            <w:pPr>
              <w:rPr>
                <w:rFonts w:asciiTheme="majorHAnsi" w:hAnsiTheme="majorHAnsi"/>
                <w:sz w:val="24"/>
                <w:szCs w:val="24"/>
              </w:rPr>
            </w:pPr>
            <w:r w:rsidRPr="00386FF0">
              <w:rPr>
                <w:rFonts w:asciiTheme="majorHAnsi" w:hAnsiTheme="majorHAnsi"/>
                <w:sz w:val="24"/>
                <w:szCs w:val="24"/>
              </w:rPr>
              <w:t>Contact Name:</w:t>
            </w:r>
          </w:p>
        </w:tc>
        <w:tc>
          <w:tcPr>
            <w:tcW w:w="9175" w:type="dxa"/>
          </w:tcPr>
          <w:p w14:paraId="2DDAB87C" w14:textId="77777777" w:rsidR="00386FF0" w:rsidRPr="00386FF0" w:rsidRDefault="00386FF0" w:rsidP="0006492B">
            <w:pPr>
              <w:rPr>
                <w:rFonts w:asciiTheme="majorHAnsi" w:hAnsiTheme="majorHAnsi"/>
                <w:sz w:val="24"/>
                <w:szCs w:val="24"/>
              </w:rPr>
            </w:pPr>
          </w:p>
        </w:tc>
      </w:tr>
      <w:tr w:rsidR="00DB2C44" w:rsidRPr="00386FF0" w14:paraId="12E63F55" w14:textId="77777777" w:rsidTr="00386FF0">
        <w:tc>
          <w:tcPr>
            <w:tcW w:w="3775" w:type="dxa"/>
          </w:tcPr>
          <w:p w14:paraId="33FC5120" w14:textId="14962855" w:rsidR="00DB2C44" w:rsidRPr="00386FF0" w:rsidRDefault="00DB2C44" w:rsidP="0006492B">
            <w:pPr>
              <w:rPr>
                <w:rFonts w:asciiTheme="majorHAnsi" w:hAnsiTheme="majorHAnsi"/>
                <w:sz w:val="24"/>
                <w:szCs w:val="24"/>
              </w:rPr>
            </w:pPr>
            <w:r>
              <w:rPr>
                <w:rFonts w:asciiTheme="majorHAnsi" w:hAnsiTheme="majorHAnsi"/>
                <w:sz w:val="24"/>
                <w:szCs w:val="24"/>
              </w:rPr>
              <w:t>Contact Title:</w:t>
            </w:r>
          </w:p>
        </w:tc>
        <w:tc>
          <w:tcPr>
            <w:tcW w:w="9175" w:type="dxa"/>
          </w:tcPr>
          <w:p w14:paraId="71C0F790" w14:textId="77777777" w:rsidR="00DB2C44" w:rsidRPr="00386FF0" w:rsidRDefault="00DB2C44" w:rsidP="0006492B">
            <w:pPr>
              <w:rPr>
                <w:rFonts w:asciiTheme="majorHAnsi" w:hAnsiTheme="majorHAnsi"/>
                <w:sz w:val="24"/>
                <w:szCs w:val="24"/>
              </w:rPr>
            </w:pPr>
          </w:p>
        </w:tc>
      </w:tr>
      <w:tr w:rsidR="00386FF0" w:rsidRPr="00386FF0" w14:paraId="1442212D" w14:textId="3AE43641" w:rsidTr="00386FF0">
        <w:tc>
          <w:tcPr>
            <w:tcW w:w="3775" w:type="dxa"/>
          </w:tcPr>
          <w:p w14:paraId="6D5FEE34" w14:textId="77777777" w:rsidR="00386FF0" w:rsidRPr="00386FF0" w:rsidRDefault="00386FF0" w:rsidP="0006492B">
            <w:pPr>
              <w:rPr>
                <w:rFonts w:asciiTheme="majorHAnsi" w:hAnsiTheme="majorHAnsi"/>
                <w:sz w:val="24"/>
                <w:szCs w:val="24"/>
              </w:rPr>
            </w:pPr>
            <w:r w:rsidRPr="00386FF0">
              <w:rPr>
                <w:rFonts w:asciiTheme="majorHAnsi" w:hAnsiTheme="majorHAnsi"/>
                <w:sz w:val="24"/>
                <w:szCs w:val="24"/>
              </w:rPr>
              <w:t>Contact Phone:</w:t>
            </w:r>
          </w:p>
        </w:tc>
        <w:tc>
          <w:tcPr>
            <w:tcW w:w="9175" w:type="dxa"/>
          </w:tcPr>
          <w:p w14:paraId="600220D8" w14:textId="77777777" w:rsidR="00386FF0" w:rsidRPr="00386FF0" w:rsidRDefault="00386FF0" w:rsidP="0006492B">
            <w:pPr>
              <w:rPr>
                <w:rFonts w:asciiTheme="majorHAnsi" w:hAnsiTheme="majorHAnsi"/>
                <w:sz w:val="24"/>
                <w:szCs w:val="24"/>
              </w:rPr>
            </w:pPr>
          </w:p>
        </w:tc>
      </w:tr>
      <w:tr w:rsidR="00DB2C44" w:rsidRPr="00386FF0" w14:paraId="0B3FC204" w14:textId="77777777" w:rsidTr="00386FF0">
        <w:tc>
          <w:tcPr>
            <w:tcW w:w="3775" w:type="dxa"/>
          </w:tcPr>
          <w:p w14:paraId="13A11B0A" w14:textId="6C4E519C" w:rsidR="00DB2C44" w:rsidRPr="00386FF0" w:rsidRDefault="00DB2C44" w:rsidP="00DB2C44">
            <w:pPr>
              <w:rPr>
                <w:rFonts w:asciiTheme="majorHAnsi" w:hAnsiTheme="majorHAnsi"/>
                <w:sz w:val="24"/>
                <w:szCs w:val="24"/>
              </w:rPr>
            </w:pPr>
            <w:r w:rsidRPr="00386FF0">
              <w:rPr>
                <w:rFonts w:asciiTheme="majorHAnsi" w:hAnsiTheme="majorHAnsi"/>
                <w:sz w:val="24"/>
                <w:szCs w:val="24"/>
              </w:rPr>
              <w:t>Contact Email:</w:t>
            </w:r>
          </w:p>
        </w:tc>
        <w:tc>
          <w:tcPr>
            <w:tcW w:w="9175" w:type="dxa"/>
          </w:tcPr>
          <w:p w14:paraId="269708F7" w14:textId="77777777" w:rsidR="00DB2C44" w:rsidRPr="00386FF0" w:rsidRDefault="00DB2C44" w:rsidP="00DB2C44">
            <w:pPr>
              <w:rPr>
                <w:rFonts w:asciiTheme="majorHAnsi" w:hAnsiTheme="majorHAnsi"/>
                <w:sz w:val="24"/>
                <w:szCs w:val="24"/>
              </w:rPr>
            </w:pPr>
          </w:p>
        </w:tc>
      </w:tr>
      <w:tr w:rsidR="00DB2C44" w:rsidRPr="00386FF0" w14:paraId="2FA70B2B" w14:textId="4CB2F860" w:rsidTr="00386FF0">
        <w:tc>
          <w:tcPr>
            <w:tcW w:w="3775" w:type="dxa"/>
          </w:tcPr>
          <w:p w14:paraId="47FF7E8F" w14:textId="142A2FC1" w:rsidR="00DB2C44" w:rsidRPr="00386FF0" w:rsidRDefault="00DB2C44" w:rsidP="00DB2C44">
            <w:pPr>
              <w:rPr>
                <w:rFonts w:asciiTheme="majorHAnsi" w:hAnsiTheme="majorHAnsi"/>
                <w:sz w:val="24"/>
                <w:szCs w:val="24"/>
              </w:rPr>
            </w:pPr>
            <w:r w:rsidRPr="00386FF0">
              <w:rPr>
                <w:rFonts w:asciiTheme="majorHAnsi" w:hAnsiTheme="majorHAnsi"/>
                <w:sz w:val="24"/>
                <w:szCs w:val="24"/>
              </w:rPr>
              <w:t>Address of Project Site</w:t>
            </w:r>
            <w:r>
              <w:rPr>
                <w:rFonts w:asciiTheme="majorHAnsi" w:hAnsiTheme="majorHAnsi"/>
                <w:sz w:val="24"/>
                <w:szCs w:val="24"/>
              </w:rPr>
              <w:t>(s)</w:t>
            </w:r>
            <w:r w:rsidRPr="00386FF0">
              <w:rPr>
                <w:rFonts w:asciiTheme="majorHAnsi" w:hAnsiTheme="majorHAnsi"/>
                <w:sz w:val="24"/>
                <w:szCs w:val="24"/>
              </w:rPr>
              <w:t>:</w:t>
            </w:r>
          </w:p>
        </w:tc>
        <w:tc>
          <w:tcPr>
            <w:tcW w:w="9175" w:type="dxa"/>
          </w:tcPr>
          <w:p w14:paraId="08EF6906" w14:textId="77777777" w:rsidR="00DB2C44" w:rsidRPr="00386FF0" w:rsidRDefault="00DB2C44" w:rsidP="00DB2C44">
            <w:pPr>
              <w:rPr>
                <w:rFonts w:asciiTheme="majorHAnsi" w:hAnsiTheme="majorHAnsi"/>
                <w:sz w:val="24"/>
                <w:szCs w:val="24"/>
              </w:rPr>
            </w:pPr>
          </w:p>
        </w:tc>
      </w:tr>
      <w:tr w:rsidR="00DB2C44" w:rsidRPr="00386FF0" w14:paraId="3D42084D" w14:textId="639CBF1A" w:rsidTr="00386FF0">
        <w:tc>
          <w:tcPr>
            <w:tcW w:w="3775" w:type="dxa"/>
          </w:tcPr>
          <w:p w14:paraId="36643495" w14:textId="161014D1" w:rsidR="00DB2C44" w:rsidRPr="00386FF0" w:rsidRDefault="00DB2C44" w:rsidP="00DB2C44">
            <w:pPr>
              <w:rPr>
                <w:rFonts w:asciiTheme="majorHAnsi" w:hAnsiTheme="majorHAnsi"/>
                <w:sz w:val="24"/>
                <w:szCs w:val="24"/>
              </w:rPr>
            </w:pPr>
            <w:r>
              <w:rPr>
                <w:rFonts w:asciiTheme="majorHAnsi" w:hAnsiTheme="majorHAnsi"/>
                <w:sz w:val="24"/>
                <w:szCs w:val="24"/>
              </w:rPr>
              <w:t>Does your project include construction/renovation/property acquisition?</w:t>
            </w:r>
          </w:p>
        </w:tc>
        <w:tc>
          <w:tcPr>
            <w:tcW w:w="9175" w:type="dxa"/>
          </w:tcPr>
          <w:p w14:paraId="0F5C43EE" w14:textId="77777777" w:rsidR="00DB2C44" w:rsidRPr="00386FF0" w:rsidRDefault="00DB2C44" w:rsidP="00DB2C44">
            <w:pPr>
              <w:rPr>
                <w:rFonts w:asciiTheme="majorHAnsi" w:hAnsiTheme="majorHAnsi"/>
                <w:sz w:val="24"/>
                <w:szCs w:val="24"/>
              </w:rPr>
            </w:pPr>
          </w:p>
        </w:tc>
      </w:tr>
    </w:tbl>
    <w:p w14:paraId="69233E75" w14:textId="77777777" w:rsidR="00386FF0" w:rsidRDefault="00386FF0">
      <w:pPr>
        <w:rPr>
          <w:rFonts w:asciiTheme="majorHAnsi" w:hAnsiTheme="majorHAnsi"/>
          <w:sz w:val="24"/>
          <w:szCs w:val="24"/>
        </w:rPr>
      </w:pPr>
    </w:p>
    <w:p w14:paraId="13EEEEE2" w14:textId="2B199D61" w:rsidR="004327CD" w:rsidRPr="001F55F0" w:rsidRDefault="004327CD">
      <w:pPr>
        <w:rPr>
          <w:rFonts w:asciiTheme="majorHAnsi" w:hAnsiTheme="majorHAnsi"/>
          <w:sz w:val="24"/>
          <w:szCs w:val="24"/>
        </w:rPr>
      </w:pPr>
      <w:r w:rsidRPr="001F55F0">
        <w:rPr>
          <w:rFonts w:asciiTheme="majorHAnsi" w:hAnsiTheme="majorHAnsi"/>
          <w:sz w:val="24"/>
          <w:szCs w:val="24"/>
        </w:rPr>
        <w:t>Please describe your proposed subaward project in one to two sentences below.</w:t>
      </w:r>
    </w:p>
    <w:tbl>
      <w:tblPr>
        <w:tblStyle w:val="TableGrid"/>
        <w:tblW w:w="0" w:type="auto"/>
        <w:tblLook w:val="04A0" w:firstRow="1" w:lastRow="0" w:firstColumn="1" w:lastColumn="0" w:noHBand="0" w:noVBand="1"/>
      </w:tblPr>
      <w:tblGrid>
        <w:gridCol w:w="12950"/>
      </w:tblGrid>
      <w:tr w:rsidR="004327CD" w:rsidRPr="001F55F0" w14:paraId="42AD7E4E" w14:textId="77777777" w:rsidTr="00F6142A">
        <w:trPr>
          <w:trHeight w:val="3527"/>
        </w:trPr>
        <w:tc>
          <w:tcPr>
            <w:tcW w:w="12950" w:type="dxa"/>
          </w:tcPr>
          <w:p w14:paraId="3DD8D699" w14:textId="77777777" w:rsidR="004327CD" w:rsidRPr="001F55F0" w:rsidRDefault="004327CD">
            <w:pPr>
              <w:rPr>
                <w:rFonts w:asciiTheme="majorHAnsi" w:hAnsiTheme="majorHAnsi"/>
                <w:sz w:val="24"/>
                <w:szCs w:val="24"/>
              </w:rPr>
            </w:pPr>
          </w:p>
        </w:tc>
      </w:tr>
    </w:tbl>
    <w:p w14:paraId="566D8DE8" w14:textId="77777777" w:rsidR="004327CD" w:rsidRPr="001F55F0" w:rsidRDefault="004327CD">
      <w:pPr>
        <w:rPr>
          <w:rFonts w:asciiTheme="majorHAnsi" w:hAnsiTheme="majorHAnsi"/>
          <w:sz w:val="24"/>
          <w:szCs w:val="24"/>
        </w:rPr>
      </w:pPr>
    </w:p>
    <w:p w14:paraId="491C014E" w14:textId="77777777" w:rsidR="00F6142A" w:rsidRDefault="00F6142A">
      <w:pPr>
        <w:rPr>
          <w:rFonts w:asciiTheme="majorHAnsi" w:hAnsiTheme="majorHAnsi"/>
          <w:sz w:val="24"/>
          <w:szCs w:val="24"/>
        </w:rPr>
      </w:pPr>
    </w:p>
    <w:p w14:paraId="197CBB1D" w14:textId="26B05059" w:rsidR="001F55F0" w:rsidRPr="001F55F0" w:rsidRDefault="00FA2E69">
      <w:pPr>
        <w:rPr>
          <w:rFonts w:asciiTheme="majorHAnsi" w:hAnsiTheme="majorHAnsi"/>
          <w:sz w:val="24"/>
          <w:szCs w:val="24"/>
        </w:rPr>
      </w:pPr>
      <w:r w:rsidRPr="001F55F0">
        <w:rPr>
          <w:rFonts w:asciiTheme="majorHAnsi" w:hAnsiTheme="majorHAnsi"/>
          <w:sz w:val="24"/>
          <w:szCs w:val="24"/>
        </w:rPr>
        <w:lastRenderedPageBreak/>
        <w:t>Please describe the activity or activities you are proposing for use of the Energy Transition Community Grant Program based on the appropriate allowable activity categories in the table below. Please provide as much detail as possible about your proposed project activities and how they align with the energy transition community grant program purpose.</w:t>
      </w:r>
    </w:p>
    <w:tbl>
      <w:tblPr>
        <w:tblStyle w:val="TableGrid"/>
        <w:tblW w:w="0" w:type="auto"/>
        <w:tblLook w:val="04A0" w:firstRow="1" w:lastRow="0" w:firstColumn="1" w:lastColumn="0" w:noHBand="0" w:noVBand="1"/>
      </w:tblPr>
      <w:tblGrid>
        <w:gridCol w:w="5305"/>
        <w:gridCol w:w="7645"/>
      </w:tblGrid>
      <w:tr w:rsidR="009761C6" w:rsidRPr="001F55F0" w14:paraId="330E7B5A" w14:textId="77777777" w:rsidTr="001F55F0">
        <w:tc>
          <w:tcPr>
            <w:tcW w:w="5305" w:type="dxa"/>
          </w:tcPr>
          <w:p w14:paraId="44019411" w14:textId="1AF13A4A" w:rsidR="009761C6" w:rsidRPr="001F55F0" w:rsidRDefault="009761C6" w:rsidP="009761C6">
            <w:pPr>
              <w:shd w:val="clear" w:color="auto" w:fill="FFFFFF"/>
              <w:jc w:val="center"/>
              <w:rPr>
                <w:rFonts w:asciiTheme="majorHAnsi" w:eastAsia="Times New Roman" w:hAnsiTheme="majorHAnsi" w:cs="Times New Roman"/>
                <w:color w:val="222222"/>
                <w:kern w:val="0"/>
                <w:sz w:val="24"/>
                <w:szCs w:val="24"/>
                <w14:ligatures w14:val="none"/>
              </w:rPr>
            </w:pPr>
            <w:r w:rsidRPr="001F55F0">
              <w:rPr>
                <w:rFonts w:asciiTheme="majorHAnsi" w:eastAsia="Times New Roman" w:hAnsiTheme="majorHAnsi" w:cs="Times New Roman"/>
                <w:color w:val="222222"/>
                <w:kern w:val="0"/>
                <w:sz w:val="24"/>
                <w:szCs w:val="24"/>
                <w14:ligatures w14:val="none"/>
              </w:rPr>
              <w:t>Allowable Activity Category</w:t>
            </w:r>
          </w:p>
        </w:tc>
        <w:tc>
          <w:tcPr>
            <w:tcW w:w="7645" w:type="dxa"/>
          </w:tcPr>
          <w:p w14:paraId="0B9A21C7" w14:textId="38AD010D" w:rsidR="009761C6" w:rsidRPr="001F55F0" w:rsidRDefault="009761C6" w:rsidP="009761C6">
            <w:pPr>
              <w:shd w:val="clear" w:color="auto" w:fill="FFFFFF"/>
              <w:jc w:val="center"/>
              <w:rPr>
                <w:rFonts w:asciiTheme="majorHAnsi" w:eastAsia="Times New Roman" w:hAnsiTheme="majorHAnsi" w:cs="Times New Roman"/>
                <w:color w:val="222222"/>
                <w:kern w:val="0"/>
                <w:sz w:val="24"/>
                <w:szCs w:val="24"/>
                <w14:ligatures w14:val="none"/>
              </w:rPr>
            </w:pPr>
            <w:r w:rsidRPr="001F55F0">
              <w:rPr>
                <w:rFonts w:asciiTheme="majorHAnsi" w:eastAsia="Times New Roman" w:hAnsiTheme="majorHAnsi" w:cs="Times New Roman"/>
                <w:color w:val="222222"/>
                <w:kern w:val="0"/>
                <w:sz w:val="24"/>
                <w:szCs w:val="24"/>
                <w14:ligatures w14:val="none"/>
              </w:rPr>
              <w:t>Proposed Subaward Activity</w:t>
            </w:r>
          </w:p>
        </w:tc>
      </w:tr>
      <w:tr w:rsidR="009761C6" w:rsidRPr="001F55F0" w14:paraId="3F9E4EED" w14:textId="5563D187" w:rsidTr="001F55F0">
        <w:tc>
          <w:tcPr>
            <w:tcW w:w="5305" w:type="dxa"/>
          </w:tcPr>
          <w:p w14:paraId="7E3E85C2"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Capacity building, consultants/professional services, etc.</w:t>
            </w:r>
          </w:p>
        </w:tc>
        <w:tc>
          <w:tcPr>
            <w:tcW w:w="7645" w:type="dxa"/>
          </w:tcPr>
          <w:p w14:paraId="716A040D"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2B6F7285" w14:textId="0B2A6907" w:rsidTr="001F55F0">
        <w:tc>
          <w:tcPr>
            <w:tcW w:w="5305" w:type="dxa"/>
          </w:tcPr>
          <w:p w14:paraId="37469FDB"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Energy Efficiency/Renewable Energy/Clean Energy Transition planning, development, and implementation.</w:t>
            </w:r>
          </w:p>
        </w:tc>
        <w:tc>
          <w:tcPr>
            <w:tcW w:w="7645" w:type="dxa"/>
          </w:tcPr>
          <w:p w14:paraId="750BE038"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420E48F2" w14:textId="63A5CAC3" w:rsidTr="001F55F0">
        <w:tc>
          <w:tcPr>
            <w:tcW w:w="5305" w:type="dxa"/>
          </w:tcPr>
          <w:p w14:paraId="6D89299C"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Workforce development, including upskilling and reskilling for high-demand/high-wage opportunities in regional industries, and investment in training facilities. This may include tuition assistance and wrap-around services for trainees, including stipends for housing, transportation, and childcare.</w:t>
            </w:r>
          </w:p>
        </w:tc>
        <w:tc>
          <w:tcPr>
            <w:tcW w:w="7645" w:type="dxa"/>
          </w:tcPr>
          <w:p w14:paraId="6A6095F2"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6806BF44" w14:textId="16654F77" w:rsidTr="001F55F0">
        <w:tc>
          <w:tcPr>
            <w:tcW w:w="5305" w:type="dxa"/>
          </w:tcPr>
          <w:p w14:paraId="39114EBF" w14:textId="55C4A595"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Financial assistance for unemployed, underemployed, and/or low-income residents, including direct cash benefits, childcare, housing, transportation, and health care.</w:t>
            </w:r>
          </w:p>
        </w:tc>
        <w:tc>
          <w:tcPr>
            <w:tcW w:w="7645" w:type="dxa"/>
          </w:tcPr>
          <w:p w14:paraId="47A646F2"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07DAF8B5" w14:textId="50FC8D07" w:rsidTr="001F55F0">
        <w:tc>
          <w:tcPr>
            <w:tcW w:w="5305" w:type="dxa"/>
          </w:tcPr>
          <w:p w14:paraId="65E47149"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Grants to incentivize relocation or retention of companies.</w:t>
            </w:r>
          </w:p>
        </w:tc>
        <w:tc>
          <w:tcPr>
            <w:tcW w:w="7645" w:type="dxa"/>
          </w:tcPr>
          <w:p w14:paraId="03BB1A97"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3BB0A174" w14:textId="3BF7CC8D" w:rsidTr="001F55F0">
        <w:tc>
          <w:tcPr>
            <w:tcW w:w="5305" w:type="dxa"/>
          </w:tcPr>
          <w:p w14:paraId="7683DC8A"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Marketing and other investment to boost tourism, recreation, and business development opportunities.</w:t>
            </w:r>
          </w:p>
        </w:tc>
        <w:tc>
          <w:tcPr>
            <w:tcW w:w="7645" w:type="dxa"/>
          </w:tcPr>
          <w:p w14:paraId="2C6F11D1"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55C043C0" w14:textId="3C0B5B8A" w:rsidTr="001F55F0">
        <w:tc>
          <w:tcPr>
            <w:tcW w:w="5305" w:type="dxa"/>
          </w:tcPr>
          <w:p w14:paraId="022EBAC8"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Affordable housing.</w:t>
            </w:r>
          </w:p>
        </w:tc>
        <w:tc>
          <w:tcPr>
            <w:tcW w:w="7645" w:type="dxa"/>
          </w:tcPr>
          <w:p w14:paraId="1AC38418"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6BA38C5F" w14:textId="59AF40B8" w:rsidTr="001F55F0">
        <w:tc>
          <w:tcPr>
            <w:tcW w:w="5305" w:type="dxa"/>
          </w:tcPr>
          <w:p w14:paraId="4BF40653"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Public health initiatives and community health care facilities.</w:t>
            </w:r>
          </w:p>
        </w:tc>
        <w:tc>
          <w:tcPr>
            <w:tcW w:w="7645" w:type="dxa"/>
          </w:tcPr>
          <w:p w14:paraId="3352AEEF"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3016CBB7" w14:textId="060DC35F" w:rsidTr="001F55F0">
        <w:tc>
          <w:tcPr>
            <w:tcW w:w="5305" w:type="dxa"/>
          </w:tcPr>
          <w:p w14:paraId="7C4CF9C4"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 xml:space="preserve">Downtown/commercial redevelopment, including investment to enhance public space, improve energy </w:t>
            </w:r>
            <w:r w:rsidRPr="009761C6">
              <w:rPr>
                <w:rFonts w:asciiTheme="majorHAnsi" w:eastAsia="Times New Roman" w:hAnsiTheme="majorHAnsi" w:cs="Times New Roman"/>
                <w:color w:val="222222"/>
                <w:kern w:val="0"/>
                <w:sz w:val="24"/>
                <w:szCs w:val="24"/>
                <w14:ligatures w14:val="none"/>
              </w:rPr>
              <w:lastRenderedPageBreak/>
              <w:t>efficiency/sustainability of facilities or infrastructure, and renovate/revitalize historic buildings.</w:t>
            </w:r>
          </w:p>
        </w:tc>
        <w:tc>
          <w:tcPr>
            <w:tcW w:w="7645" w:type="dxa"/>
          </w:tcPr>
          <w:p w14:paraId="590CBDFF"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7C44FF15" w14:textId="58E1B91A" w:rsidTr="001F55F0">
        <w:tc>
          <w:tcPr>
            <w:tcW w:w="5305" w:type="dxa"/>
          </w:tcPr>
          <w:p w14:paraId="7591FA87"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Planning, along with supporting research and analysis, for economic development, transportation, or other programs to address the impact of closure.</w:t>
            </w:r>
          </w:p>
        </w:tc>
        <w:tc>
          <w:tcPr>
            <w:tcW w:w="7645" w:type="dxa"/>
          </w:tcPr>
          <w:p w14:paraId="6686EFA3"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15DE08D3" w14:textId="61A42E35" w:rsidTr="001F55F0">
        <w:tc>
          <w:tcPr>
            <w:tcW w:w="5305" w:type="dxa"/>
          </w:tcPr>
          <w:p w14:paraId="7DFAB426"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Investment in local or regional operational capacity for economic development/business development/grant writing/planning through local governments or nonprofits.</w:t>
            </w:r>
          </w:p>
        </w:tc>
        <w:tc>
          <w:tcPr>
            <w:tcW w:w="7645" w:type="dxa"/>
          </w:tcPr>
          <w:p w14:paraId="728D99F7"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5C3F5654" w14:textId="3D589C74" w:rsidTr="001F55F0">
        <w:tc>
          <w:tcPr>
            <w:tcW w:w="5305" w:type="dxa"/>
          </w:tcPr>
          <w:p w14:paraId="036BDE64" w14:textId="690A83C4"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Public infrastructure investment, including water/sewer, transportation, drainage, broadband, public facilities, and other.</w:t>
            </w:r>
          </w:p>
        </w:tc>
        <w:tc>
          <w:tcPr>
            <w:tcW w:w="7645" w:type="dxa"/>
          </w:tcPr>
          <w:p w14:paraId="0B76F492"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r w:rsidR="009761C6" w:rsidRPr="001F55F0" w14:paraId="16530A0C" w14:textId="6D914420" w:rsidTr="001F55F0">
        <w:tc>
          <w:tcPr>
            <w:tcW w:w="5305" w:type="dxa"/>
          </w:tcPr>
          <w:p w14:paraId="1486E6DB" w14:textId="32171F06"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r w:rsidRPr="009761C6">
              <w:rPr>
                <w:rFonts w:asciiTheme="majorHAnsi" w:eastAsia="Times New Roman" w:hAnsiTheme="majorHAnsi" w:cs="Times New Roman"/>
                <w:color w:val="222222"/>
                <w:kern w:val="0"/>
                <w:sz w:val="24"/>
                <w:szCs w:val="24"/>
                <w14:ligatures w14:val="none"/>
              </w:rPr>
              <w:t>Site cleanup and environmental remediation</w:t>
            </w:r>
          </w:p>
        </w:tc>
        <w:tc>
          <w:tcPr>
            <w:tcW w:w="7645" w:type="dxa"/>
          </w:tcPr>
          <w:p w14:paraId="78EF7D94" w14:textId="77777777" w:rsidR="009761C6" w:rsidRPr="001F55F0" w:rsidRDefault="009761C6" w:rsidP="00235AD9">
            <w:pPr>
              <w:shd w:val="clear" w:color="auto" w:fill="FFFFFF"/>
              <w:rPr>
                <w:rFonts w:asciiTheme="majorHAnsi" w:eastAsia="Times New Roman" w:hAnsiTheme="majorHAnsi" w:cs="Times New Roman"/>
                <w:color w:val="222222"/>
                <w:kern w:val="0"/>
                <w:sz w:val="24"/>
                <w:szCs w:val="24"/>
                <w14:ligatures w14:val="none"/>
              </w:rPr>
            </w:pPr>
          </w:p>
        </w:tc>
      </w:tr>
    </w:tbl>
    <w:p w14:paraId="2ACF123B" w14:textId="59EE9D58" w:rsidR="008A571C" w:rsidRPr="001F55F0" w:rsidRDefault="008A571C" w:rsidP="009761C6">
      <w:pPr>
        <w:rPr>
          <w:rFonts w:asciiTheme="majorHAnsi" w:eastAsia="Times New Roman" w:hAnsiTheme="majorHAnsi" w:cs="Times New Roman"/>
          <w:color w:val="222222"/>
          <w:kern w:val="0"/>
          <w:sz w:val="24"/>
          <w:szCs w:val="24"/>
          <w14:ligatures w14:val="none"/>
        </w:rPr>
      </w:pPr>
    </w:p>
    <w:p w14:paraId="1A7FC96F" w14:textId="335F75A0" w:rsidR="009761C6" w:rsidRPr="001F55F0" w:rsidRDefault="009761C6">
      <w:pPr>
        <w:rPr>
          <w:rFonts w:asciiTheme="majorHAnsi" w:eastAsia="Times New Roman" w:hAnsiTheme="majorHAnsi" w:cs="Times New Roman"/>
          <w:color w:val="222222"/>
          <w:kern w:val="0"/>
          <w:sz w:val="24"/>
          <w:szCs w:val="24"/>
          <w14:ligatures w14:val="none"/>
        </w:rPr>
      </w:pPr>
      <w:r w:rsidRPr="001F55F0">
        <w:rPr>
          <w:rFonts w:asciiTheme="majorHAnsi" w:eastAsia="Times New Roman" w:hAnsiTheme="majorHAnsi" w:cs="Times New Roman"/>
          <w:color w:val="222222"/>
          <w:kern w:val="0"/>
          <w:sz w:val="24"/>
          <w:szCs w:val="24"/>
          <w14:ligatures w14:val="none"/>
        </w:rPr>
        <w:br w:type="page"/>
      </w:r>
    </w:p>
    <w:p w14:paraId="3CF2211F" w14:textId="19EA45BB" w:rsidR="00FA2E69" w:rsidRPr="001F55F0" w:rsidRDefault="00FA2E69">
      <w:pPr>
        <w:rPr>
          <w:rFonts w:asciiTheme="majorHAnsi" w:eastAsia="Times New Roman" w:hAnsiTheme="majorHAnsi" w:cs="Times New Roman"/>
          <w:color w:val="222222"/>
          <w:kern w:val="0"/>
          <w:sz w:val="24"/>
          <w:szCs w:val="24"/>
          <w14:ligatures w14:val="none"/>
        </w:rPr>
      </w:pPr>
      <w:r w:rsidRPr="001F55F0">
        <w:rPr>
          <w:rFonts w:asciiTheme="majorHAnsi" w:eastAsia="Times New Roman" w:hAnsiTheme="majorHAnsi" w:cs="Times New Roman"/>
          <w:color w:val="222222"/>
          <w:kern w:val="0"/>
          <w:sz w:val="24"/>
          <w:szCs w:val="24"/>
          <w14:ligatures w14:val="none"/>
        </w:rPr>
        <w:lastRenderedPageBreak/>
        <w:t xml:space="preserve">Please list your proposed </w:t>
      </w:r>
      <w:r w:rsidR="006A372D" w:rsidRPr="001F55F0">
        <w:rPr>
          <w:rFonts w:asciiTheme="majorHAnsi" w:eastAsia="Times New Roman" w:hAnsiTheme="majorHAnsi" w:cs="Times New Roman"/>
          <w:color w:val="222222"/>
          <w:kern w:val="0"/>
          <w:sz w:val="24"/>
          <w:szCs w:val="24"/>
          <w14:ligatures w14:val="none"/>
        </w:rPr>
        <w:t xml:space="preserve">budget expenditures associated with the project activities described in the previous table. Please list the expense associated with the appropriate budget category and provide a detailed description of the cost. </w:t>
      </w:r>
    </w:p>
    <w:p w14:paraId="50DC862C" w14:textId="77777777" w:rsidR="006A372D" w:rsidRPr="001F55F0" w:rsidRDefault="006A372D">
      <w:pPr>
        <w:rPr>
          <w:rFonts w:asciiTheme="majorHAnsi" w:eastAsia="Times New Roman" w:hAnsiTheme="majorHAnsi" w:cs="Times New Roman"/>
          <w:color w:val="222222"/>
          <w:kern w:val="0"/>
          <w:sz w:val="24"/>
          <w:szCs w:val="24"/>
          <w14:ligatures w14:val="none"/>
        </w:rPr>
      </w:pPr>
    </w:p>
    <w:tbl>
      <w:tblPr>
        <w:tblW w:w="5000" w:type="pct"/>
        <w:tblLook w:val="04A0" w:firstRow="1" w:lastRow="0" w:firstColumn="1" w:lastColumn="0" w:noHBand="0" w:noVBand="1"/>
      </w:tblPr>
      <w:tblGrid>
        <w:gridCol w:w="4342"/>
        <w:gridCol w:w="1503"/>
        <w:gridCol w:w="1801"/>
        <w:gridCol w:w="5304"/>
      </w:tblGrid>
      <w:tr w:rsidR="009761C6" w:rsidRPr="001F55F0" w14:paraId="0A980D40" w14:textId="6AB372DD"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24F55" w14:textId="61906DE2" w:rsidR="009761C6" w:rsidRPr="001F55F0" w:rsidRDefault="009761C6" w:rsidP="00FA2E69">
            <w:pPr>
              <w:spacing w:after="0" w:line="240" w:lineRule="auto"/>
              <w:jc w:val="center"/>
              <w:rPr>
                <w:rFonts w:asciiTheme="majorHAnsi" w:eastAsia="Times New Roman" w:hAnsiTheme="majorHAnsi" w:cs="Times New Roman"/>
                <w:b/>
                <w:bCs/>
                <w:color w:val="000000"/>
                <w:kern w:val="0"/>
                <w:sz w:val="24"/>
                <w:szCs w:val="24"/>
                <w14:ligatures w14:val="none"/>
              </w:rPr>
            </w:pPr>
            <w:r w:rsidRPr="001F55F0">
              <w:rPr>
                <w:rFonts w:asciiTheme="majorHAnsi" w:eastAsia="Times New Roman" w:hAnsiTheme="majorHAnsi" w:cs="Times New Roman"/>
                <w:b/>
                <w:bCs/>
                <w:color w:val="000000"/>
                <w:kern w:val="0"/>
                <w:sz w:val="24"/>
                <w:szCs w:val="24"/>
                <w14:ligatures w14:val="none"/>
              </w:rPr>
              <w:t>Category</w:t>
            </w:r>
          </w:p>
        </w:tc>
        <w:tc>
          <w:tcPr>
            <w:tcW w:w="580" w:type="pct"/>
            <w:tcBorders>
              <w:top w:val="single" w:sz="4" w:space="0" w:color="auto"/>
              <w:left w:val="single" w:sz="4" w:space="0" w:color="auto"/>
              <w:bottom w:val="single" w:sz="4" w:space="0" w:color="auto"/>
              <w:right w:val="single" w:sz="4" w:space="0" w:color="auto"/>
            </w:tcBorders>
            <w:vAlign w:val="center"/>
          </w:tcPr>
          <w:p w14:paraId="203A61C6" w14:textId="6C2696E8" w:rsidR="009761C6" w:rsidRPr="001F55F0" w:rsidRDefault="009761C6" w:rsidP="00FA2E69">
            <w:pPr>
              <w:spacing w:after="0" w:line="240" w:lineRule="auto"/>
              <w:jc w:val="center"/>
              <w:rPr>
                <w:rFonts w:asciiTheme="majorHAnsi" w:eastAsia="Times New Roman" w:hAnsiTheme="majorHAnsi" w:cs="Times New Roman"/>
                <w:b/>
                <w:bCs/>
                <w:color w:val="000000"/>
                <w:kern w:val="0"/>
                <w:sz w:val="24"/>
                <w:szCs w:val="24"/>
                <w14:ligatures w14:val="none"/>
              </w:rPr>
            </w:pPr>
            <w:r w:rsidRPr="001F55F0">
              <w:rPr>
                <w:rFonts w:asciiTheme="majorHAnsi" w:eastAsia="Times New Roman" w:hAnsiTheme="majorHAnsi" w:cs="Times New Roman"/>
                <w:b/>
                <w:bCs/>
                <w:color w:val="000000"/>
                <w:kern w:val="0"/>
                <w:sz w:val="24"/>
                <w:szCs w:val="24"/>
                <w14:ligatures w14:val="none"/>
              </w:rPr>
              <w:t>Year 1</w:t>
            </w:r>
          </w:p>
        </w:tc>
        <w:tc>
          <w:tcPr>
            <w:tcW w:w="695" w:type="pct"/>
            <w:tcBorders>
              <w:top w:val="single" w:sz="4" w:space="0" w:color="auto"/>
              <w:left w:val="single" w:sz="4" w:space="0" w:color="auto"/>
              <w:bottom w:val="single" w:sz="4" w:space="0" w:color="auto"/>
              <w:right w:val="single" w:sz="4" w:space="0" w:color="auto"/>
            </w:tcBorders>
            <w:vAlign w:val="center"/>
          </w:tcPr>
          <w:p w14:paraId="7AC5A000" w14:textId="1F7833A6" w:rsidR="009761C6" w:rsidRPr="001F55F0" w:rsidRDefault="009761C6" w:rsidP="00FA2E69">
            <w:pPr>
              <w:spacing w:after="0" w:line="240" w:lineRule="auto"/>
              <w:jc w:val="center"/>
              <w:rPr>
                <w:rFonts w:asciiTheme="majorHAnsi" w:eastAsia="Times New Roman" w:hAnsiTheme="majorHAnsi" w:cs="Times New Roman"/>
                <w:b/>
                <w:bCs/>
                <w:color w:val="000000"/>
                <w:kern w:val="0"/>
                <w:sz w:val="24"/>
                <w:szCs w:val="24"/>
                <w14:ligatures w14:val="none"/>
              </w:rPr>
            </w:pPr>
            <w:r w:rsidRPr="001F55F0">
              <w:rPr>
                <w:rFonts w:asciiTheme="majorHAnsi" w:eastAsia="Times New Roman" w:hAnsiTheme="majorHAnsi" w:cs="Times New Roman"/>
                <w:b/>
                <w:bCs/>
                <w:color w:val="000000"/>
                <w:kern w:val="0"/>
                <w:sz w:val="24"/>
                <w:szCs w:val="24"/>
                <w14:ligatures w14:val="none"/>
              </w:rPr>
              <w:t xml:space="preserve">Year 2 </w:t>
            </w:r>
            <w:r w:rsidRPr="001F55F0">
              <w:rPr>
                <w:rFonts w:asciiTheme="majorHAnsi" w:eastAsia="Times New Roman" w:hAnsiTheme="majorHAnsi" w:cs="Times New Roman"/>
                <w:b/>
                <w:bCs/>
                <w:color w:val="000000"/>
                <w:kern w:val="0"/>
                <w:sz w:val="24"/>
                <w:szCs w:val="24"/>
                <w14:ligatures w14:val="none"/>
              </w:rPr>
              <w:br/>
              <w:t>(if needed)</w:t>
            </w:r>
          </w:p>
        </w:tc>
        <w:tc>
          <w:tcPr>
            <w:tcW w:w="2048" w:type="pct"/>
            <w:tcBorders>
              <w:top w:val="single" w:sz="4" w:space="0" w:color="auto"/>
              <w:left w:val="single" w:sz="4" w:space="0" w:color="auto"/>
              <w:bottom w:val="single" w:sz="4" w:space="0" w:color="auto"/>
              <w:right w:val="single" w:sz="4" w:space="0" w:color="auto"/>
            </w:tcBorders>
            <w:vAlign w:val="center"/>
          </w:tcPr>
          <w:p w14:paraId="014A7D41" w14:textId="1F17B926" w:rsidR="009761C6" w:rsidRPr="001F55F0" w:rsidRDefault="009761C6" w:rsidP="00FA2E69">
            <w:pPr>
              <w:spacing w:after="0" w:line="240" w:lineRule="auto"/>
              <w:jc w:val="center"/>
              <w:rPr>
                <w:rFonts w:asciiTheme="majorHAnsi" w:eastAsia="Times New Roman" w:hAnsiTheme="majorHAnsi" w:cs="Times New Roman"/>
                <w:b/>
                <w:bCs/>
                <w:color w:val="000000"/>
                <w:kern w:val="0"/>
                <w:sz w:val="24"/>
                <w:szCs w:val="24"/>
                <w14:ligatures w14:val="none"/>
              </w:rPr>
            </w:pPr>
            <w:r w:rsidRPr="001F55F0">
              <w:rPr>
                <w:rFonts w:asciiTheme="majorHAnsi" w:eastAsia="Times New Roman" w:hAnsiTheme="majorHAnsi" w:cs="Times New Roman"/>
                <w:b/>
                <w:bCs/>
                <w:color w:val="000000"/>
                <w:kern w:val="0"/>
                <w:sz w:val="24"/>
                <w:szCs w:val="24"/>
                <w14:ligatures w14:val="none"/>
              </w:rPr>
              <w:t>Description of Cost</w:t>
            </w:r>
          </w:p>
        </w:tc>
      </w:tr>
      <w:tr w:rsidR="009761C6" w:rsidRPr="001F55F0" w14:paraId="2FD1BBD1" w14:textId="21B3C87C"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14506"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1. Personnel (Salaries &amp; Wages)</w:t>
            </w:r>
          </w:p>
        </w:tc>
        <w:tc>
          <w:tcPr>
            <w:tcW w:w="580" w:type="pct"/>
            <w:tcBorders>
              <w:top w:val="single" w:sz="4" w:space="0" w:color="auto"/>
              <w:left w:val="single" w:sz="4" w:space="0" w:color="auto"/>
              <w:bottom w:val="single" w:sz="4" w:space="0" w:color="auto"/>
              <w:right w:val="single" w:sz="4" w:space="0" w:color="auto"/>
            </w:tcBorders>
          </w:tcPr>
          <w:p w14:paraId="5A3432BB"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46BBD065"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091EF46C"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6CC64BBD" w14:textId="03939B22"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0317"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2. Fringe Benefits</w:t>
            </w:r>
          </w:p>
        </w:tc>
        <w:tc>
          <w:tcPr>
            <w:tcW w:w="580" w:type="pct"/>
            <w:tcBorders>
              <w:top w:val="single" w:sz="4" w:space="0" w:color="auto"/>
              <w:left w:val="single" w:sz="4" w:space="0" w:color="auto"/>
              <w:bottom w:val="single" w:sz="4" w:space="0" w:color="auto"/>
              <w:right w:val="single" w:sz="4" w:space="0" w:color="auto"/>
            </w:tcBorders>
          </w:tcPr>
          <w:p w14:paraId="34BD9A32"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7D75122E"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50B3128C"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5D0AE16D" w14:textId="00DB66FB"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8F51"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3. Travel</w:t>
            </w:r>
          </w:p>
        </w:tc>
        <w:tc>
          <w:tcPr>
            <w:tcW w:w="580" w:type="pct"/>
            <w:tcBorders>
              <w:top w:val="single" w:sz="4" w:space="0" w:color="auto"/>
              <w:left w:val="single" w:sz="4" w:space="0" w:color="auto"/>
              <w:bottom w:val="single" w:sz="4" w:space="0" w:color="auto"/>
              <w:right w:val="single" w:sz="4" w:space="0" w:color="auto"/>
            </w:tcBorders>
          </w:tcPr>
          <w:p w14:paraId="401979A6"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3FF8B577"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7C0A6C5E"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43137FEA" w14:textId="36EC5367"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0BFC"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4. Equipment</w:t>
            </w:r>
          </w:p>
        </w:tc>
        <w:tc>
          <w:tcPr>
            <w:tcW w:w="580" w:type="pct"/>
            <w:tcBorders>
              <w:top w:val="single" w:sz="4" w:space="0" w:color="auto"/>
              <w:left w:val="single" w:sz="4" w:space="0" w:color="auto"/>
              <w:bottom w:val="single" w:sz="4" w:space="0" w:color="auto"/>
              <w:right w:val="single" w:sz="4" w:space="0" w:color="auto"/>
            </w:tcBorders>
          </w:tcPr>
          <w:p w14:paraId="78CC663A"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6630130C"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2348622C"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67073F26" w14:textId="2AEAFDF7"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04C7"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5. Supplies</w:t>
            </w:r>
          </w:p>
        </w:tc>
        <w:tc>
          <w:tcPr>
            <w:tcW w:w="580" w:type="pct"/>
            <w:tcBorders>
              <w:top w:val="single" w:sz="4" w:space="0" w:color="auto"/>
              <w:left w:val="single" w:sz="4" w:space="0" w:color="auto"/>
              <w:bottom w:val="single" w:sz="4" w:space="0" w:color="auto"/>
              <w:right w:val="single" w:sz="4" w:space="0" w:color="auto"/>
            </w:tcBorders>
          </w:tcPr>
          <w:p w14:paraId="0056FCCE"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02F04DC8"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141DA741"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7663204D" w14:textId="50A616C5"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E947C"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 xml:space="preserve">6. Contractual </w:t>
            </w:r>
            <w:proofErr w:type="gramStart"/>
            <w:r w:rsidRPr="009761C6">
              <w:rPr>
                <w:rFonts w:asciiTheme="majorHAnsi" w:eastAsia="Times New Roman" w:hAnsiTheme="majorHAnsi" w:cs="Times New Roman"/>
                <w:color w:val="000000"/>
                <w:kern w:val="0"/>
                <w:sz w:val="24"/>
                <w:szCs w:val="24"/>
                <w14:ligatures w14:val="none"/>
              </w:rPr>
              <w:t>Services  &amp;</w:t>
            </w:r>
            <w:proofErr w:type="gramEnd"/>
            <w:r w:rsidRPr="009761C6">
              <w:rPr>
                <w:rFonts w:asciiTheme="majorHAnsi" w:eastAsia="Times New Roman" w:hAnsiTheme="majorHAnsi" w:cs="Times New Roman"/>
                <w:color w:val="000000"/>
                <w:kern w:val="0"/>
                <w:sz w:val="24"/>
                <w:szCs w:val="24"/>
                <w14:ligatures w14:val="none"/>
              </w:rPr>
              <w:t xml:space="preserve"> Subawards </w:t>
            </w:r>
          </w:p>
        </w:tc>
        <w:tc>
          <w:tcPr>
            <w:tcW w:w="580" w:type="pct"/>
            <w:tcBorders>
              <w:top w:val="single" w:sz="4" w:space="0" w:color="auto"/>
              <w:left w:val="single" w:sz="4" w:space="0" w:color="auto"/>
              <w:bottom w:val="single" w:sz="4" w:space="0" w:color="auto"/>
              <w:right w:val="single" w:sz="4" w:space="0" w:color="auto"/>
            </w:tcBorders>
          </w:tcPr>
          <w:p w14:paraId="702D690A"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788347D3"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0EC45936"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186F835F" w14:textId="1D9F37B3"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B2035"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 xml:space="preserve">7. Consultant (Professional Services) </w:t>
            </w:r>
          </w:p>
        </w:tc>
        <w:tc>
          <w:tcPr>
            <w:tcW w:w="580" w:type="pct"/>
            <w:tcBorders>
              <w:top w:val="single" w:sz="4" w:space="0" w:color="auto"/>
              <w:left w:val="single" w:sz="4" w:space="0" w:color="auto"/>
              <w:bottom w:val="single" w:sz="4" w:space="0" w:color="auto"/>
              <w:right w:val="single" w:sz="4" w:space="0" w:color="auto"/>
            </w:tcBorders>
          </w:tcPr>
          <w:p w14:paraId="03080A80"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1E9C7991"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002881A8"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37665F4B" w14:textId="2D02C347"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F9F7E"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8A. Design/Engineering</w:t>
            </w:r>
          </w:p>
        </w:tc>
        <w:tc>
          <w:tcPr>
            <w:tcW w:w="580" w:type="pct"/>
            <w:tcBorders>
              <w:top w:val="single" w:sz="4" w:space="0" w:color="auto"/>
              <w:left w:val="single" w:sz="4" w:space="0" w:color="auto"/>
              <w:bottom w:val="single" w:sz="4" w:space="0" w:color="auto"/>
              <w:right w:val="single" w:sz="4" w:space="0" w:color="auto"/>
            </w:tcBorders>
          </w:tcPr>
          <w:p w14:paraId="7A48E3B0"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67A885E2"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5E0A4BF1"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79F1F8D8" w14:textId="4C1039E9"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94C3"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8B. Building/Land Purchase</w:t>
            </w:r>
          </w:p>
        </w:tc>
        <w:tc>
          <w:tcPr>
            <w:tcW w:w="580" w:type="pct"/>
            <w:tcBorders>
              <w:top w:val="single" w:sz="4" w:space="0" w:color="auto"/>
              <w:left w:val="single" w:sz="4" w:space="0" w:color="auto"/>
              <w:bottom w:val="single" w:sz="4" w:space="0" w:color="auto"/>
              <w:right w:val="single" w:sz="4" w:space="0" w:color="auto"/>
            </w:tcBorders>
          </w:tcPr>
          <w:p w14:paraId="7D85F372"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73DD4B52"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258A85EC"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1F760F95" w14:textId="4E408640"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67FC"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8C. Equipment/Material/Labor</w:t>
            </w:r>
          </w:p>
        </w:tc>
        <w:tc>
          <w:tcPr>
            <w:tcW w:w="580" w:type="pct"/>
            <w:tcBorders>
              <w:top w:val="single" w:sz="4" w:space="0" w:color="auto"/>
              <w:left w:val="single" w:sz="4" w:space="0" w:color="auto"/>
              <w:bottom w:val="single" w:sz="4" w:space="0" w:color="auto"/>
              <w:right w:val="single" w:sz="4" w:space="0" w:color="auto"/>
            </w:tcBorders>
          </w:tcPr>
          <w:p w14:paraId="2C5584A0"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02F2830A"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1C6B2516"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38F6EF1C" w14:textId="557A7CAE"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833A"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8D. Equipment - Construction</w:t>
            </w:r>
          </w:p>
        </w:tc>
        <w:tc>
          <w:tcPr>
            <w:tcW w:w="580" w:type="pct"/>
            <w:tcBorders>
              <w:top w:val="single" w:sz="4" w:space="0" w:color="auto"/>
              <w:left w:val="single" w:sz="4" w:space="0" w:color="auto"/>
              <w:bottom w:val="single" w:sz="4" w:space="0" w:color="auto"/>
              <w:right w:val="single" w:sz="4" w:space="0" w:color="auto"/>
            </w:tcBorders>
          </w:tcPr>
          <w:p w14:paraId="5BC248C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250AAD68"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570E082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4F41BFF2" w14:textId="505CDF45"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D0FF"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8E. Wiring/Electrical</w:t>
            </w:r>
          </w:p>
        </w:tc>
        <w:tc>
          <w:tcPr>
            <w:tcW w:w="580" w:type="pct"/>
            <w:tcBorders>
              <w:top w:val="single" w:sz="4" w:space="0" w:color="auto"/>
              <w:left w:val="single" w:sz="4" w:space="0" w:color="auto"/>
              <w:bottom w:val="single" w:sz="4" w:space="0" w:color="auto"/>
              <w:right w:val="single" w:sz="4" w:space="0" w:color="auto"/>
            </w:tcBorders>
          </w:tcPr>
          <w:p w14:paraId="2F9FBE3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32F1BCC5"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15EE3EF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0C64389E" w14:textId="6FF389CF"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D83C1"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8F. Mechanical Systems</w:t>
            </w:r>
          </w:p>
        </w:tc>
        <w:tc>
          <w:tcPr>
            <w:tcW w:w="580" w:type="pct"/>
            <w:tcBorders>
              <w:top w:val="single" w:sz="4" w:space="0" w:color="auto"/>
              <w:left w:val="single" w:sz="4" w:space="0" w:color="auto"/>
              <w:bottom w:val="single" w:sz="4" w:space="0" w:color="auto"/>
              <w:right w:val="single" w:sz="4" w:space="0" w:color="auto"/>
            </w:tcBorders>
          </w:tcPr>
          <w:p w14:paraId="54A27BC1"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7B34347D"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6CFACDD9"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5BE70F7B" w14:textId="6CB7DD37"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AD08"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8G. Paving/Concrete/Masonry</w:t>
            </w:r>
          </w:p>
        </w:tc>
        <w:tc>
          <w:tcPr>
            <w:tcW w:w="580" w:type="pct"/>
            <w:tcBorders>
              <w:top w:val="single" w:sz="4" w:space="0" w:color="auto"/>
              <w:left w:val="single" w:sz="4" w:space="0" w:color="auto"/>
              <w:bottom w:val="single" w:sz="4" w:space="0" w:color="auto"/>
              <w:right w:val="single" w:sz="4" w:space="0" w:color="auto"/>
            </w:tcBorders>
          </w:tcPr>
          <w:p w14:paraId="5A0BE5AA"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3F270C43"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64AE69A9"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097257F1" w14:textId="12185AC7"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BA06"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8H. Plumbing</w:t>
            </w:r>
          </w:p>
        </w:tc>
        <w:tc>
          <w:tcPr>
            <w:tcW w:w="580" w:type="pct"/>
            <w:tcBorders>
              <w:top w:val="single" w:sz="4" w:space="0" w:color="auto"/>
              <w:left w:val="single" w:sz="4" w:space="0" w:color="auto"/>
              <w:bottom w:val="single" w:sz="4" w:space="0" w:color="auto"/>
              <w:right w:val="single" w:sz="4" w:space="0" w:color="auto"/>
            </w:tcBorders>
          </w:tcPr>
          <w:p w14:paraId="01649541"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375C03E4"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4B5F4ABA"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799A5129" w14:textId="21C29185"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47147"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8I. Construction Management &amp; Oversight</w:t>
            </w:r>
          </w:p>
        </w:tc>
        <w:tc>
          <w:tcPr>
            <w:tcW w:w="580" w:type="pct"/>
            <w:tcBorders>
              <w:top w:val="single" w:sz="4" w:space="0" w:color="auto"/>
              <w:left w:val="single" w:sz="4" w:space="0" w:color="auto"/>
              <w:bottom w:val="single" w:sz="4" w:space="0" w:color="auto"/>
              <w:right w:val="single" w:sz="4" w:space="0" w:color="auto"/>
            </w:tcBorders>
          </w:tcPr>
          <w:p w14:paraId="4C5909A2"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1623397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40556DE3"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1C6BD4F0" w14:textId="28657DC0"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87DB8"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8J. Other Construction Expenses</w:t>
            </w:r>
          </w:p>
        </w:tc>
        <w:tc>
          <w:tcPr>
            <w:tcW w:w="580" w:type="pct"/>
            <w:tcBorders>
              <w:top w:val="single" w:sz="4" w:space="0" w:color="auto"/>
              <w:left w:val="single" w:sz="4" w:space="0" w:color="auto"/>
              <w:bottom w:val="single" w:sz="4" w:space="0" w:color="auto"/>
              <w:right w:val="single" w:sz="4" w:space="0" w:color="auto"/>
            </w:tcBorders>
          </w:tcPr>
          <w:p w14:paraId="5CD8F121"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18128737"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5895F1E2"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4D12635E" w14:textId="0B6D61B7"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4AD89"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8K. Excavation/Site Prep/Demo</w:t>
            </w:r>
          </w:p>
        </w:tc>
        <w:tc>
          <w:tcPr>
            <w:tcW w:w="580" w:type="pct"/>
            <w:tcBorders>
              <w:top w:val="single" w:sz="4" w:space="0" w:color="auto"/>
              <w:left w:val="single" w:sz="4" w:space="0" w:color="auto"/>
              <w:bottom w:val="single" w:sz="4" w:space="0" w:color="auto"/>
              <w:right w:val="single" w:sz="4" w:space="0" w:color="auto"/>
            </w:tcBorders>
          </w:tcPr>
          <w:p w14:paraId="74AE472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5BAB3B2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7E4A718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6A71A1BF" w14:textId="08F3711D"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FE10"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8L. Site Work</w:t>
            </w:r>
          </w:p>
        </w:tc>
        <w:tc>
          <w:tcPr>
            <w:tcW w:w="580" w:type="pct"/>
            <w:tcBorders>
              <w:top w:val="single" w:sz="4" w:space="0" w:color="auto"/>
              <w:left w:val="single" w:sz="4" w:space="0" w:color="auto"/>
              <w:bottom w:val="single" w:sz="4" w:space="0" w:color="auto"/>
              <w:right w:val="single" w:sz="4" w:space="0" w:color="auto"/>
            </w:tcBorders>
          </w:tcPr>
          <w:p w14:paraId="29DDC394"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4D70331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7E472A3E"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3C60E4FF" w14:textId="0B2C7C05"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18D8"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lastRenderedPageBreak/>
              <w:t>8M. Demolition &amp; Removal</w:t>
            </w:r>
          </w:p>
        </w:tc>
        <w:tc>
          <w:tcPr>
            <w:tcW w:w="580" w:type="pct"/>
            <w:tcBorders>
              <w:top w:val="single" w:sz="4" w:space="0" w:color="auto"/>
              <w:left w:val="single" w:sz="4" w:space="0" w:color="auto"/>
              <w:bottom w:val="single" w:sz="4" w:space="0" w:color="auto"/>
              <w:right w:val="single" w:sz="4" w:space="0" w:color="auto"/>
            </w:tcBorders>
          </w:tcPr>
          <w:p w14:paraId="3C0E73BC"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380AD05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449E8A15"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19C4186A" w14:textId="11241F4C"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DCBE6"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8N. Contingency</w:t>
            </w:r>
          </w:p>
        </w:tc>
        <w:tc>
          <w:tcPr>
            <w:tcW w:w="580" w:type="pct"/>
            <w:tcBorders>
              <w:top w:val="single" w:sz="4" w:space="0" w:color="auto"/>
              <w:left w:val="single" w:sz="4" w:space="0" w:color="auto"/>
              <w:bottom w:val="single" w:sz="4" w:space="0" w:color="auto"/>
              <w:right w:val="single" w:sz="4" w:space="0" w:color="auto"/>
            </w:tcBorders>
          </w:tcPr>
          <w:p w14:paraId="2F41E7B5"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216E6878"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31D16E04"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1CAEFF38" w14:textId="4A766D43"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956AE"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9. Occupancy (Rent &amp; Utilities)</w:t>
            </w:r>
          </w:p>
        </w:tc>
        <w:tc>
          <w:tcPr>
            <w:tcW w:w="580" w:type="pct"/>
            <w:tcBorders>
              <w:top w:val="single" w:sz="4" w:space="0" w:color="auto"/>
              <w:left w:val="single" w:sz="4" w:space="0" w:color="auto"/>
              <w:bottom w:val="single" w:sz="4" w:space="0" w:color="auto"/>
              <w:right w:val="single" w:sz="4" w:space="0" w:color="auto"/>
            </w:tcBorders>
          </w:tcPr>
          <w:p w14:paraId="008FA7ED"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6135F637"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3C4A8D10"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0EF0F90C" w14:textId="131283F8"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CF0E"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 xml:space="preserve">11. Telecommunications </w:t>
            </w:r>
          </w:p>
        </w:tc>
        <w:tc>
          <w:tcPr>
            <w:tcW w:w="580" w:type="pct"/>
            <w:tcBorders>
              <w:top w:val="single" w:sz="4" w:space="0" w:color="auto"/>
              <w:left w:val="single" w:sz="4" w:space="0" w:color="auto"/>
              <w:bottom w:val="single" w:sz="4" w:space="0" w:color="auto"/>
              <w:right w:val="single" w:sz="4" w:space="0" w:color="auto"/>
            </w:tcBorders>
          </w:tcPr>
          <w:p w14:paraId="38ACF831"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46DCEF3B"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485D7CD0"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003C93F4" w14:textId="458A087C"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EF43D"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12. Training &amp; Education</w:t>
            </w:r>
          </w:p>
        </w:tc>
        <w:tc>
          <w:tcPr>
            <w:tcW w:w="580" w:type="pct"/>
            <w:tcBorders>
              <w:top w:val="single" w:sz="4" w:space="0" w:color="auto"/>
              <w:left w:val="single" w:sz="4" w:space="0" w:color="auto"/>
              <w:bottom w:val="single" w:sz="4" w:space="0" w:color="auto"/>
              <w:right w:val="single" w:sz="4" w:space="0" w:color="auto"/>
            </w:tcBorders>
          </w:tcPr>
          <w:p w14:paraId="2C55D264"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387D21E2"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5B745D7A"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6275C070" w14:textId="1A3308C2"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4B3E2"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 xml:space="preserve">13. Direct Administrative costs </w:t>
            </w:r>
          </w:p>
        </w:tc>
        <w:tc>
          <w:tcPr>
            <w:tcW w:w="580" w:type="pct"/>
            <w:tcBorders>
              <w:top w:val="single" w:sz="4" w:space="0" w:color="auto"/>
              <w:left w:val="single" w:sz="4" w:space="0" w:color="auto"/>
              <w:bottom w:val="single" w:sz="4" w:space="0" w:color="auto"/>
              <w:right w:val="single" w:sz="4" w:space="0" w:color="auto"/>
            </w:tcBorders>
          </w:tcPr>
          <w:p w14:paraId="6BEA8B1F"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425FF0B6"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32E3C27C"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5CB69214" w14:textId="66A8D7E0"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48105"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14. Miscellaneous Costs</w:t>
            </w:r>
          </w:p>
        </w:tc>
        <w:tc>
          <w:tcPr>
            <w:tcW w:w="580" w:type="pct"/>
            <w:tcBorders>
              <w:top w:val="single" w:sz="4" w:space="0" w:color="auto"/>
              <w:left w:val="single" w:sz="4" w:space="0" w:color="auto"/>
              <w:bottom w:val="single" w:sz="4" w:space="0" w:color="auto"/>
              <w:right w:val="single" w:sz="4" w:space="0" w:color="auto"/>
            </w:tcBorders>
          </w:tcPr>
          <w:p w14:paraId="283EB5CE"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6BE59E13"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766E9B7E"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4EB522C3" w14:textId="0C5018ED" w:rsidTr="001F55F0">
        <w:trPr>
          <w:trHeight w:val="378"/>
        </w:trPr>
        <w:tc>
          <w:tcPr>
            <w:tcW w:w="1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EED5E"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16. Total Direct Costs (lines 1-15)</w:t>
            </w:r>
          </w:p>
        </w:tc>
        <w:tc>
          <w:tcPr>
            <w:tcW w:w="580" w:type="pct"/>
            <w:tcBorders>
              <w:top w:val="single" w:sz="4" w:space="0" w:color="auto"/>
              <w:left w:val="single" w:sz="4" w:space="0" w:color="auto"/>
              <w:bottom w:val="single" w:sz="4" w:space="0" w:color="auto"/>
              <w:right w:val="single" w:sz="4" w:space="0" w:color="auto"/>
            </w:tcBorders>
          </w:tcPr>
          <w:p w14:paraId="667ADBEC"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6673DD86"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77D90227"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r w:rsidR="009761C6" w:rsidRPr="001F55F0" w14:paraId="1DFCAEE9" w14:textId="5B348C00" w:rsidTr="001F55F0">
        <w:trPr>
          <w:trHeight w:val="465"/>
        </w:trPr>
        <w:tc>
          <w:tcPr>
            <w:tcW w:w="1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37719" w14:textId="77777777" w:rsidR="009761C6" w:rsidRPr="009761C6" w:rsidRDefault="009761C6" w:rsidP="009761C6">
            <w:pPr>
              <w:spacing w:after="0" w:line="240" w:lineRule="auto"/>
              <w:rPr>
                <w:rFonts w:asciiTheme="majorHAnsi" w:eastAsia="Times New Roman" w:hAnsiTheme="majorHAnsi" w:cs="Times New Roman"/>
                <w:color w:val="000000"/>
                <w:kern w:val="0"/>
                <w:sz w:val="24"/>
                <w:szCs w:val="24"/>
                <w14:ligatures w14:val="none"/>
              </w:rPr>
            </w:pPr>
            <w:r w:rsidRPr="009761C6">
              <w:rPr>
                <w:rFonts w:asciiTheme="majorHAnsi" w:eastAsia="Times New Roman" w:hAnsiTheme="majorHAnsi" w:cs="Times New Roman"/>
                <w:color w:val="000000"/>
                <w:kern w:val="0"/>
                <w:sz w:val="24"/>
                <w:szCs w:val="24"/>
                <w14:ligatures w14:val="none"/>
              </w:rPr>
              <w:t>17</w:t>
            </w:r>
            <w:proofErr w:type="gramStart"/>
            <w:r w:rsidRPr="009761C6">
              <w:rPr>
                <w:rFonts w:asciiTheme="majorHAnsi" w:eastAsia="Times New Roman" w:hAnsiTheme="majorHAnsi" w:cs="Times New Roman"/>
                <w:color w:val="000000"/>
                <w:kern w:val="0"/>
                <w:sz w:val="24"/>
                <w:szCs w:val="24"/>
                <w14:ligatures w14:val="none"/>
              </w:rPr>
              <w:t>.  Indirect</w:t>
            </w:r>
            <w:proofErr w:type="gramEnd"/>
            <w:r w:rsidRPr="009761C6">
              <w:rPr>
                <w:rFonts w:asciiTheme="majorHAnsi" w:eastAsia="Times New Roman" w:hAnsiTheme="majorHAnsi" w:cs="Times New Roman"/>
                <w:color w:val="000000"/>
                <w:kern w:val="0"/>
                <w:sz w:val="24"/>
                <w:szCs w:val="24"/>
                <w14:ligatures w14:val="none"/>
              </w:rPr>
              <w:t xml:space="preserve"> Costs* (see below)</w:t>
            </w:r>
          </w:p>
        </w:tc>
        <w:tc>
          <w:tcPr>
            <w:tcW w:w="580" w:type="pct"/>
            <w:tcBorders>
              <w:top w:val="single" w:sz="4" w:space="0" w:color="auto"/>
              <w:left w:val="single" w:sz="4" w:space="0" w:color="auto"/>
              <w:bottom w:val="single" w:sz="4" w:space="0" w:color="auto"/>
              <w:right w:val="single" w:sz="4" w:space="0" w:color="auto"/>
            </w:tcBorders>
          </w:tcPr>
          <w:p w14:paraId="388A66CD"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695" w:type="pct"/>
            <w:tcBorders>
              <w:top w:val="single" w:sz="4" w:space="0" w:color="auto"/>
              <w:left w:val="single" w:sz="4" w:space="0" w:color="auto"/>
              <w:bottom w:val="single" w:sz="4" w:space="0" w:color="auto"/>
              <w:right w:val="single" w:sz="4" w:space="0" w:color="auto"/>
            </w:tcBorders>
          </w:tcPr>
          <w:p w14:paraId="38E2CB99"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c>
          <w:tcPr>
            <w:tcW w:w="2048" w:type="pct"/>
            <w:tcBorders>
              <w:top w:val="single" w:sz="4" w:space="0" w:color="auto"/>
              <w:left w:val="single" w:sz="4" w:space="0" w:color="auto"/>
              <w:bottom w:val="single" w:sz="4" w:space="0" w:color="auto"/>
              <w:right w:val="single" w:sz="4" w:space="0" w:color="auto"/>
            </w:tcBorders>
          </w:tcPr>
          <w:p w14:paraId="09EBC354" w14:textId="77777777" w:rsidR="009761C6" w:rsidRPr="001F55F0" w:rsidRDefault="009761C6" w:rsidP="009761C6">
            <w:pPr>
              <w:spacing w:after="0" w:line="240" w:lineRule="auto"/>
              <w:rPr>
                <w:rFonts w:asciiTheme="majorHAnsi" w:eastAsia="Times New Roman" w:hAnsiTheme="majorHAnsi" w:cs="Times New Roman"/>
                <w:color w:val="000000"/>
                <w:kern w:val="0"/>
                <w:sz w:val="24"/>
                <w:szCs w:val="24"/>
                <w14:ligatures w14:val="none"/>
              </w:rPr>
            </w:pPr>
          </w:p>
        </w:tc>
      </w:tr>
    </w:tbl>
    <w:p w14:paraId="70304DD8" w14:textId="77777777" w:rsidR="009761C6" w:rsidRPr="001F55F0" w:rsidRDefault="009761C6" w:rsidP="009761C6">
      <w:pPr>
        <w:rPr>
          <w:rFonts w:asciiTheme="majorHAnsi" w:eastAsia="Times New Roman" w:hAnsiTheme="majorHAnsi" w:cs="Times New Roman"/>
          <w:color w:val="222222"/>
          <w:kern w:val="0"/>
          <w:sz w:val="24"/>
          <w:szCs w:val="24"/>
          <w14:ligatures w14:val="none"/>
        </w:rPr>
      </w:pPr>
    </w:p>
    <w:sectPr w:rsidR="009761C6" w:rsidRPr="001F55F0" w:rsidSect="009761C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2672" w14:textId="77777777" w:rsidR="00AA5F33" w:rsidRDefault="00AA5F33" w:rsidP="001F55F0">
      <w:pPr>
        <w:spacing w:after="0" w:line="240" w:lineRule="auto"/>
      </w:pPr>
      <w:r>
        <w:separator/>
      </w:r>
    </w:p>
  </w:endnote>
  <w:endnote w:type="continuationSeparator" w:id="0">
    <w:p w14:paraId="570DF6FE" w14:textId="77777777" w:rsidR="00AA5F33" w:rsidRDefault="00AA5F33" w:rsidP="001F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838412"/>
      <w:docPartObj>
        <w:docPartGallery w:val="Page Numbers (Bottom of Page)"/>
        <w:docPartUnique/>
      </w:docPartObj>
    </w:sdtPr>
    <w:sdtEndPr>
      <w:rPr>
        <w:noProof/>
      </w:rPr>
    </w:sdtEndPr>
    <w:sdtContent>
      <w:p w14:paraId="1FB2DC80" w14:textId="4B895C10" w:rsidR="001F55F0" w:rsidRDefault="001F55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E55EA" w14:textId="77777777" w:rsidR="001F55F0" w:rsidRDefault="001F5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15789" w14:textId="77777777" w:rsidR="00AA5F33" w:rsidRDefault="00AA5F33" w:rsidP="001F55F0">
      <w:pPr>
        <w:spacing w:after="0" w:line="240" w:lineRule="auto"/>
      </w:pPr>
      <w:r>
        <w:separator/>
      </w:r>
    </w:p>
  </w:footnote>
  <w:footnote w:type="continuationSeparator" w:id="0">
    <w:p w14:paraId="260DCDC1" w14:textId="77777777" w:rsidR="00AA5F33" w:rsidRDefault="00AA5F33" w:rsidP="001F5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B201A"/>
    <w:multiLevelType w:val="multilevel"/>
    <w:tmpl w:val="575CCA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6426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C6"/>
    <w:rsid w:val="00076255"/>
    <w:rsid w:val="000A79A0"/>
    <w:rsid w:val="001F55F0"/>
    <w:rsid w:val="00386FF0"/>
    <w:rsid w:val="003C4525"/>
    <w:rsid w:val="004327CD"/>
    <w:rsid w:val="005B1246"/>
    <w:rsid w:val="00695815"/>
    <w:rsid w:val="006A372D"/>
    <w:rsid w:val="008A571C"/>
    <w:rsid w:val="009761C6"/>
    <w:rsid w:val="00AA5F33"/>
    <w:rsid w:val="00D71A5D"/>
    <w:rsid w:val="00DB2C44"/>
    <w:rsid w:val="00F6142A"/>
    <w:rsid w:val="00FA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153E"/>
  <w15:chartTrackingRefBased/>
  <w15:docId w15:val="{71B19788-ED7A-4729-9EAD-3FC20ADB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1C6"/>
    <w:rPr>
      <w:rFonts w:eastAsiaTheme="majorEastAsia" w:cstheme="majorBidi"/>
      <w:color w:val="272727" w:themeColor="text1" w:themeTint="D8"/>
    </w:rPr>
  </w:style>
  <w:style w:type="paragraph" w:styleId="Title">
    <w:name w:val="Title"/>
    <w:basedOn w:val="Normal"/>
    <w:next w:val="Normal"/>
    <w:link w:val="TitleChar"/>
    <w:uiPriority w:val="10"/>
    <w:qFormat/>
    <w:rsid w:val="00976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1C6"/>
    <w:pPr>
      <w:spacing w:before="160"/>
      <w:jc w:val="center"/>
    </w:pPr>
    <w:rPr>
      <w:i/>
      <w:iCs/>
      <w:color w:val="404040" w:themeColor="text1" w:themeTint="BF"/>
    </w:rPr>
  </w:style>
  <w:style w:type="character" w:customStyle="1" w:styleId="QuoteChar">
    <w:name w:val="Quote Char"/>
    <w:basedOn w:val="DefaultParagraphFont"/>
    <w:link w:val="Quote"/>
    <w:uiPriority w:val="29"/>
    <w:rsid w:val="009761C6"/>
    <w:rPr>
      <w:i/>
      <w:iCs/>
      <w:color w:val="404040" w:themeColor="text1" w:themeTint="BF"/>
    </w:rPr>
  </w:style>
  <w:style w:type="paragraph" w:styleId="ListParagraph">
    <w:name w:val="List Paragraph"/>
    <w:basedOn w:val="Normal"/>
    <w:uiPriority w:val="34"/>
    <w:qFormat/>
    <w:rsid w:val="009761C6"/>
    <w:pPr>
      <w:ind w:left="720"/>
      <w:contextualSpacing/>
    </w:pPr>
  </w:style>
  <w:style w:type="character" w:styleId="IntenseEmphasis">
    <w:name w:val="Intense Emphasis"/>
    <w:basedOn w:val="DefaultParagraphFont"/>
    <w:uiPriority w:val="21"/>
    <w:qFormat/>
    <w:rsid w:val="009761C6"/>
    <w:rPr>
      <w:i/>
      <w:iCs/>
      <w:color w:val="0F4761" w:themeColor="accent1" w:themeShade="BF"/>
    </w:rPr>
  </w:style>
  <w:style w:type="paragraph" w:styleId="IntenseQuote">
    <w:name w:val="Intense Quote"/>
    <w:basedOn w:val="Normal"/>
    <w:next w:val="Normal"/>
    <w:link w:val="IntenseQuoteChar"/>
    <w:uiPriority w:val="30"/>
    <w:qFormat/>
    <w:rsid w:val="00976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1C6"/>
    <w:rPr>
      <w:i/>
      <w:iCs/>
      <w:color w:val="0F4761" w:themeColor="accent1" w:themeShade="BF"/>
    </w:rPr>
  </w:style>
  <w:style w:type="character" w:styleId="IntenseReference">
    <w:name w:val="Intense Reference"/>
    <w:basedOn w:val="DefaultParagraphFont"/>
    <w:uiPriority w:val="32"/>
    <w:qFormat/>
    <w:rsid w:val="009761C6"/>
    <w:rPr>
      <w:b/>
      <w:bCs/>
      <w:smallCaps/>
      <w:color w:val="0F4761" w:themeColor="accent1" w:themeShade="BF"/>
      <w:spacing w:val="5"/>
    </w:rPr>
  </w:style>
  <w:style w:type="paragraph" w:styleId="NormalWeb">
    <w:name w:val="Normal (Web)"/>
    <w:basedOn w:val="Normal"/>
    <w:uiPriority w:val="99"/>
    <w:semiHidden/>
    <w:unhideWhenUsed/>
    <w:rsid w:val="009761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76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5F0"/>
  </w:style>
  <w:style w:type="paragraph" w:styleId="Footer">
    <w:name w:val="footer"/>
    <w:basedOn w:val="Normal"/>
    <w:link w:val="FooterChar"/>
    <w:uiPriority w:val="99"/>
    <w:unhideWhenUsed/>
    <w:rsid w:val="001F5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909831">
      <w:bodyDiv w:val="1"/>
      <w:marLeft w:val="0"/>
      <w:marRight w:val="0"/>
      <w:marTop w:val="0"/>
      <w:marBottom w:val="0"/>
      <w:divBdr>
        <w:top w:val="none" w:sz="0" w:space="0" w:color="auto"/>
        <w:left w:val="none" w:sz="0" w:space="0" w:color="auto"/>
        <w:bottom w:val="none" w:sz="0" w:space="0" w:color="auto"/>
        <w:right w:val="none" w:sz="0" w:space="0" w:color="auto"/>
      </w:divBdr>
    </w:div>
    <w:div w:id="206675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Breckenridge, Courtney</dc:creator>
  <cp:keywords/>
  <dc:description/>
  <cp:lastModifiedBy>Breckenridge, Courtney</cp:lastModifiedBy>
  <cp:revision>7</cp:revision>
  <dcterms:created xsi:type="dcterms:W3CDTF">2024-06-11T23:01:00Z</dcterms:created>
  <dcterms:modified xsi:type="dcterms:W3CDTF">2024-11-19T21:07:00Z</dcterms:modified>
</cp:coreProperties>
</file>